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07" w:rsidRDefault="007D5D95">
      <w:pPr>
        <w:spacing w:afterLines="100" w:after="312" w:line="360" w:lineRule="auto"/>
        <w:jc w:val="center"/>
        <w:rPr>
          <w:rFonts w:ascii="仿宋" w:eastAsia="仿宋" w:hAnsi="仿宋" w:cs="仿宋"/>
          <w:b/>
          <w:bCs/>
          <w:sz w:val="36"/>
          <w:szCs w:val="30"/>
        </w:rPr>
      </w:pPr>
      <w:r>
        <w:rPr>
          <w:rFonts w:ascii="仿宋" w:eastAsia="仿宋" w:hAnsi="仿宋" w:cs="仿宋" w:hint="eastAsia"/>
          <w:b/>
          <w:bCs/>
          <w:sz w:val="36"/>
          <w:szCs w:val="30"/>
        </w:rPr>
        <w:t>科研与产业</w:t>
      </w:r>
      <w:r w:rsidR="00D1598F">
        <w:rPr>
          <w:rFonts w:ascii="仿宋" w:eastAsia="仿宋" w:hAnsi="仿宋" w:cs="仿宋" w:hint="eastAsia"/>
          <w:b/>
          <w:bCs/>
          <w:sz w:val="36"/>
          <w:szCs w:val="30"/>
        </w:rPr>
        <w:t>团队入驻气象谷相关费用收取流程</w:t>
      </w:r>
    </w:p>
    <w:p w:rsidR="00917D07" w:rsidRDefault="00D1598F">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一、团队入驻气象谷可用经费</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中国气象谷3号楼环南信大成果转化创新示范基地办公场地为</w:t>
      </w:r>
      <w:r w:rsidR="00D864DC" w:rsidRPr="00D864DC">
        <w:rPr>
          <w:rFonts w:ascii="仿宋" w:eastAsia="仿宋" w:hAnsi="仿宋" w:cs="仿宋" w:hint="eastAsia"/>
          <w:sz w:val="28"/>
          <w:szCs w:val="28"/>
        </w:rPr>
        <w:t>科研与产业团队</w:t>
      </w:r>
      <w:bookmarkStart w:id="0" w:name="_GoBack"/>
      <w:bookmarkEnd w:id="0"/>
      <w:r>
        <w:rPr>
          <w:rFonts w:ascii="仿宋" w:eastAsia="仿宋" w:hAnsi="仿宋" w:cs="仿宋" w:hint="eastAsia"/>
          <w:sz w:val="28"/>
          <w:szCs w:val="28"/>
        </w:rPr>
        <w:t>科研用房，学校以内部经费统筹方式统筹所产生的资源占用费、物业费、水电费，不接受个人现金及其他单位转账方式。</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当前具体可用于统筹的资金为：</w:t>
      </w:r>
    </w:p>
    <w:p w:rsidR="00917D07" w:rsidRDefault="00D1598F">
      <w:pPr>
        <w:snapToGrid w:val="0"/>
        <w:spacing w:line="360" w:lineRule="auto"/>
        <w:ind w:firstLineChars="200" w:firstLine="562"/>
        <w:rPr>
          <w:rFonts w:ascii="仿宋" w:eastAsia="仿宋" w:hAnsi="仿宋" w:cs="仿宋"/>
          <w:b/>
          <w:sz w:val="28"/>
          <w:szCs w:val="28"/>
        </w:rPr>
      </w:pPr>
      <w:r>
        <w:rPr>
          <w:rFonts w:ascii="仿宋" w:eastAsia="仿宋" w:hAnsi="仿宋" w:cs="仿宋"/>
          <w:b/>
          <w:sz w:val="28"/>
          <w:szCs w:val="28"/>
        </w:rPr>
        <w:t>(</w:t>
      </w:r>
      <w:r>
        <w:rPr>
          <w:rFonts w:ascii="仿宋" w:eastAsia="仿宋" w:hAnsi="仿宋" w:cs="仿宋" w:hint="eastAsia"/>
          <w:b/>
          <w:sz w:val="28"/>
          <w:szCs w:val="28"/>
        </w:rPr>
        <w:t>一</w:t>
      </w:r>
      <w:r>
        <w:rPr>
          <w:rFonts w:ascii="仿宋" w:eastAsia="仿宋" w:hAnsi="仿宋" w:cs="仿宋"/>
          <w:b/>
          <w:sz w:val="28"/>
          <w:szCs w:val="28"/>
        </w:rPr>
        <w:t>)</w:t>
      </w:r>
      <w:r>
        <w:rPr>
          <w:rFonts w:ascii="仿宋" w:eastAsia="仿宋" w:hAnsi="仿宋" w:cs="仿宋" w:hint="eastAsia"/>
          <w:b/>
          <w:sz w:val="28"/>
          <w:szCs w:val="28"/>
        </w:rPr>
        <w:t>纵向科研项目</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.纵向科研项目（不含军工）：间接费用、已结题结账项目的结余经费；</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.纵向科研项目（军工）：已结题结账项目的结余经费，管理费预算中扣除学校应计提部分后的余额。</w:t>
      </w:r>
    </w:p>
    <w:p w:rsidR="00917D07" w:rsidRDefault="00D1598F">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w:t>
      </w:r>
      <w:r>
        <w:rPr>
          <w:rFonts w:ascii="仿宋" w:eastAsia="仿宋" w:hAnsi="仿宋" w:cs="仿宋"/>
          <w:b/>
          <w:sz w:val="28"/>
          <w:szCs w:val="28"/>
        </w:rPr>
        <w:t>)</w:t>
      </w:r>
      <w:r>
        <w:rPr>
          <w:rFonts w:ascii="仿宋" w:eastAsia="仿宋" w:hAnsi="仿宋" w:cs="仿宋" w:hint="eastAsia"/>
          <w:b/>
          <w:sz w:val="28"/>
          <w:szCs w:val="28"/>
        </w:rPr>
        <w:t>横向科研项目</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合同有约定支出方向的，由项目负责人按照合同约定的可使用部分，申请统筹使用；</w:t>
      </w:r>
    </w:p>
    <w:p w:rsidR="00917D07" w:rsidRDefault="00D1598F">
      <w:pPr>
        <w:snapToGrid w:val="0"/>
        <w:spacing w:line="360" w:lineRule="auto"/>
        <w:ind w:firstLineChars="200" w:firstLine="560"/>
        <w:rPr>
          <w:rFonts w:ascii="仿宋" w:eastAsia="仿宋" w:hAnsi="仿宋" w:cs="仿宋"/>
          <w:sz w:val="28"/>
          <w:szCs w:val="28"/>
        </w:rPr>
      </w:pPr>
      <w:bookmarkStart w:id="1" w:name="OLE_LINK1"/>
      <w:bookmarkStart w:id="2" w:name="OLE_LINK2"/>
      <w:r>
        <w:rPr>
          <w:rFonts w:ascii="仿宋" w:eastAsia="仿宋" w:hAnsi="仿宋" w:cs="仿宋"/>
          <w:sz w:val="28"/>
          <w:szCs w:val="28"/>
        </w:rPr>
        <w:t>2.</w:t>
      </w:r>
      <w:r>
        <w:rPr>
          <w:rFonts w:ascii="仿宋" w:eastAsia="仿宋" w:hAnsi="仿宋" w:cs="仿宋" w:hint="eastAsia"/>
          <w:sz w:val="28"/>
          <w:szCs w:val="28"/>
        </w:rPr>
        <w:t>若合同无约定支出方向的，由项目负责人具体把握。</w:t>
      </w:r>
    </w:p>
    <w:bookmarkEnd w:id="1"/>
    <w:bookmarkEnd w:id="2"/>
    <w:p w:rsidR="00917D07" w:rsidRDefault="00D1598F">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二、团队申请学校统筹经费操作流程及注意事项</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b/>
          <w:bCs/>
          <w:sz w:val="28"/>
          <w:szCs w:val="28"/>
        </w:rPr>
        <w:t>团队申请学校统筹经费操作流程</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sidR="00D864DC" w:rsidRPr="00D864DC">
        <w:rPr>
          <w:rFonts w:hint="eastAsia"/>
        </w:rPr>
        <w:t xml:space="preserve"> </w:t>
      </w:r>
      <w:r w:rsidR="00D864DC" w:rsidRPr="00D864DC">
        <w:rPr>
          <w:rFonts w:ascii="仿宋" w:eastAsia="仿宋" w:hAnsi="仿宋" w:cs="仿宋" w:hint="eastAsia"/>
          <w:sz w:val="28"/>
          <w:szCs w:val="28"/>
        </w:rPr>
        <w:t>科研与产业团队</w:t>
      </w:r>
      <w:r>
        <w:rPr>
          <w:rFonts w:ascii="仿宋" w:eastAsia="仿宋" w:hAnsi="仿宋" w:cs="仿宋" w:hint="eastAsia"/>
          <w:sz w:val="28"/>
          <w:szCs w:val="28"/>
        </w:rPr>
        <w:t>与学校签订协议后，由资产经营公司代表学校向团队出具经费统筹明细，明确具体的资源占用费、物业费、水费、电费应统筹金额。</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2.团队及时向财务处提交经费统筹申请，通过“学校信息门户”进入“财务系统”，在“智能报销平台”中预约“校内转账”业务。</w:t>
      </w:r>
    </w:p>
    <w:p w:rsidR="00917D07" w:rsidRDefault="00D1598F">
      <w:pPr>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noProof/>
          <w:sz w:val="28"/>
          <w:szCs w:val="28"/>
        </w:rPr>
        <w:lastRenderedPageBreak/>
        <w:drawing>
          <wp:inline distT="0" distB="0" distL="114300" distR="114300">
            <wp:extent cx="3634740" cy="1616075"/>
            <wp:effectExtent l="0" t="0" r="3810" b="3175"/>
            <wp:docPr id="1" name="图片 1" descr="963081ed0f07e9a1e68cb0a685e5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3081ed0f07e9a1e68cb0a685e5a36"/>
                    <pic:cNvPicPr>
                      <a:picLocks noChangeAspect="1"/>
                    </pic:cNvPicPr>
                  </pic:nvPicPr>
                  <pic:blipFill>
                    <a:blip r:embed="rId6"/>
                    <a:stretch>
                      <a:fillRect/>
                    </a:stretch>
                  </pic:blipFill>
                  <pic:spPr>
                    <a:xfrm>
                      <a:off x="0" y="0"/>
                      <a:ext cx="3634740" cy="1616075"/>
                    </a:xfrm>
                    <a:prstGeom prst="rect">
                      <a:avLst/>
                    </a:prstGeom>
                  </pic:spPr>
                </pic:pic>
              </a:graphicData>
            </a:graphic>
          </wp:inline>
        </w:drawing>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转账类型选择“代收气象谷水电、物业及资源占用费”。</w:t>
      </w:r>
    </w:p>
    <w:p w:rsidR="00917D07" w:rsidRDefault="00D1598F">
      <w:pPr>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noProof/>
          <w:sz w:val="28"/>
          <w:szCs w:val="28"/>
        </w:rPr>
        <w:drawing>
          <wp:inline distT="0" distB="0" distL="114300" distR="114300">
            <wp:extent cx="3991610" cy="3720465"/>
            <wp:effectExtent l="0" t="0" r="8890" b="13335"/>
            <wp:docPr id="4" name="图片 4" descr="89ac2d4d0188a894b9f072ecbbe9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9ac2d4d0188a894b9f072ecbbe9dfa"/>
                    <pic:cNvPicPr>
                      <a:picLocks noChangeAspect="1"/>
                    </pic:cNvPicPr>
                  </pic:nvPicPr>
                  <pic:blipFill>
                    <a:blip r:embed="rId7"/>
                    <a:stretch>
                      <a:fillRect/>
                    </a:stretch>
                  </pic:blipFill>
                  <pic:spPr>
                    <a:xfrm>
                      <a:off x="0" y="0"/>
                      <a:ext cx="3991610" cy="3720465"/>
                    </a:xfrm>
                    <a:prstGeom prst="rect">
                      <a:avLst/>
                    </a:prstGeom>
                  </pic:spPr>
                </pic:pic>
              </a:graphicData>
            </a:graphic>
          </wp:inline>
        </w:drawing>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根据资产经营公司出具的经费统筹明细，在“转入项目号”界面中，输入可用科研项目“项目代码”，并选择“代收气象谷资源占用费”等对应项目。</w:t>
      </w:r>
    </w:p>
    <w:p w:rsidR="00917D07" w:rsidRDefault="00D1598F">
      <w:pPr>
        <w:snapToGrid w:val="0"/>
        <w:spacing w:line="360" w:lineRule="auto"/>
        <w:ind w:firstLineChars="200" w:firstLine="560"/>
        <w:jc w:val="center"/>
        <w:rPr>
          <w:rFonts w:ascii="仿宋" w:eastAsia="仿宋" w:hAnsi="仿宋" w:cs="仿宋"/>
          <w:sz w:val="28"/>
          <w:szCs w:val="28"/>
        </w:rPr>
      </w:pPr>
      <w:r>
        <w:rPr>
          <w:rFonts w:ascii="仿宋" w:eastAsia="仿宋" w:hAnsi="仿宋" w:cs="仿宋"/>
          <w:noProof/>
          <w:sz w:val="28"/>
          <w:szCs w:val="28"/>
        </w:rPr>
        <w:lastRenderedPageBreak/>
        <w:drawing>
          <wp:inline distT="0" distB="0" distL="114300" distR="114300">
            <wp:extent cx="4166870" cy="2073910"/>
            <wp:effectExtent l="0" t="0" r="5080" b="2540"/>
            <wp:docPr id="5" name="图片 5" descr="928cc61f32f86e78ea392f572e9b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28cc61f32f86e78ea392f572e9babe"/>
                    <pic:cNvPicPr>
                      <a:picLocks noChangeAspect="1"/>
                    </pic:cNvPicPr>
                  </pic:nvPicPr>
                  <pic:blipFill>
                    <a:blip r:embed="rId8"/>
                    <a:stretch>
                      <a:fillRect/>
                    </a:stretch>
                  </pic:blipFill>
                  <pic:spPr>
                    <a:xfrm>
                      <a:off x="0" y="0"/>
                      <a:ext cx="4166870" cy="2073910"/>
                    </a:xfrm>
                    <a:prstGeom prst="rect">
                      <a:avLst/>
                    </a:prstGeom>
                  </pic:spPr>
                </pic:pic>
              </a:graphicData>
            </a:graphic>
          </wp:inline>
        </w:drawing>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团队根据资产经营公司出具的经费统筹明细，需一项费用预约一个单子，四项费用预约四个单子，避免出现从多个项目多个预算科目统筹、费用分摊混淆现象。</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3.“校内转账”业务经线上审批后，财务处直接打印入账。</w:t>
      </w:r>
    </w:p>
    <w:p w:rsidR="00917D07" w:rsidRDefault="00D1598F">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（二）团队申请学校统筹经费注意事项</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1.国防军工类科研项目参照执行，具体能否统筹由项目负责人进行把关。</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2.上述费用为内部经费统筹，均不开具收据。</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3.已结题的纵向项目直接费用需办理结账后，再申请由学校统筹。</w:t>
      </w:r>
    </w:p>
    <w:p w:rsidR="00917D07" w:rsidRDefault="00D1598F">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三、资产经营公司对统筹经费及时对账要求</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财务处在资产经营公司下设“代收气象谷资源占用费”、“代收气象谷水费”、“代收气象谷电费”、“代收气象谷物业费”（601其他收入项目）用于气象谷资源占用费、物业费、水电费核算。</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资产经营公司项目负责人可授权经办人查看上述四个项目核算明细账，及时核对应统筹与已统筹情况。对于未提交统筹申请的团队，资产经营公司应及时向团队发出通知，督促团队尽快向财务处提交经费统筹申请。</w:t>
      </w:r>
    </w:p>
    <w:p w:rsidR="00917D07" w:rsidRDefault="00D1598F">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四、履约保证金冻结与解冻流程</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1.履约保证金冻结</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sidR="00D864DC" w:rsidRPr="00D864DC">
        <w:rPr>
          <w:rFonts w:ascii="仿宋" w:eastAsia="仿宋" w:hAnsi="仿宋" w:cs="仿宋" w:hint="eastAsia"/>
          <w:sz w:val="28"/>
          <w:szCs w:val="28"/>
        </w:rPr>
        <w:t>科研与产业团队</w:t>
      </w:r>
      <w:r>
        <w:rPr>
          <w:rFonts w:ascii="仿宋" w:eastAsia="仿宋" w:hAnsi="仿宋" w:cs="仿宋" w:hint="eastAsia"/>
          <w:sz w:val="28"/>
          <w:szCs w:val="28"/>
        </w:rPr>
        <w:t>与学校签订协议后，3个工作日内向资产经营公司提供可冻结履约保证金的科研项目。可冻结履约保证金项目要求与本流程第一条所述要求一致。</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（2）资产经营公司于</w:t>
      </w:r>
      <w:r w:rsidR="00D864DC" w:rsidRPr="00D864DC">
        <w:rPr>
          <w:rFonts w:ascii="仿宋" w:eastAsia="仿宋" w:hAnsi="仿宋" w:cs="仿宋" w:hint="eastAsia"/>
          <w:sz w:val="28"/>
          <w:szCs w:val="28"/>
        </w:rPr>
        <w:t>科研与产业团队</w:t>
      </w:r>
      <w:r>
        <w:rPr>
          <w:rFonts w:ascii="仿宋" w:eastAsia="仿宋" w:hAnsi="仿宋" w:cs="仿宋" w:hint="eastAsia"/>
          <w:sz w:val="28"/>
          <w:szCs w:val="28"/>
        </w:rPr>
        <w:t>提供可冻结项目3个工作日内向财务处提供《履约保证金冻结项目明细表》，具体内容包含但不限于科研项目财务代码、科研项目名称（如：2025h148#-横向科研项目）、冻结金额、项目负责人姓名与工号及项目负责人签字。</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（3）财务处根据资产经营公司提供的《履约保证金冻结项目明细表》，在财务系统中一一冻结。</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2.中途更换履约保证金冻结项目</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因项目结题、办公场地续租等需要更换履约保证金冻结项目，由</w:t>
      </w:r>
      <w:r w:rsidR="00D864DC" w:rsidRPr="00D864DC">
        <w:rPr>
          <w:rFonts w:ascii="仿宋" w:eastAsia="仿宋" w:hAnsi="仿宋" w:cs="仿宋" w:hint="eastAsia"/>
          <w:sz w:val="28"/>
          <w:szCs w:val="28"/>
        </w:rPr>
        <w:t>科研与产业团队</w:t>
      </w:r>
      <w:r>
        <w:rPr>
          <w:rFonts w:ascii="仿宋" w:eastAsia="仿宋" w:hAnsi="仿宋" w:cs="仿宋" w:hint="eastAsia"/>
          <w:sz w:val="28"/>
          <w:szCs w:val="28"/>
        </w:rPr>
        <w:t>向资产经营公司提出更换申请，资产经营公司批准后，团队凭资产经营公司履约保证金冻结项目更换审批单，线下交财务处办理更换项目事宜。</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3.履约保证金解冻</w:t>
      </w:r>
    </w:p>
    <w:p w:rsidR="00917D07" w:rsidRDefault="00D1598F">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协议终止时，由</w:t>
      </w:r>
      <w:r w:rsidR="00D864DC" w:rsidRPr="00D864DC">
        <w:rPr>
          <w:rFonts w:ascii="仿宋" w:eastAsia="仿宋" w:hAnsi="仿宋" w:cs="仿宋" w:hint="eastAsia"/>
          <w:sz w:val="28"/>
          <w:szCs w:val="28"/>
        </w:rPr>
        <w:t>科研与产业</w:t>
      </w:r>
      <w:r>
        <w:rPr>
          <w:rFonts w:ascii="仿宋" w:eastAsia="仿宋" w:hAnsi="仿宋" w:cs="仿宋" w:hint="eastAsia"/>
          <w:sz w:val="28"/>
          <w:szCs w:val="28"/>
        </w:rPr>
        <w:t>团队向资产经营公司提出解冻申请，资产经营公司批准后，团队凭资产经营公司履约保证金解冻审批单，线下交财务处办理履约保证金解冻事宜。</w:t>
      </w:r>
    </w:p>
    <w:p w:rsidR="00917D07" w:rsidRDefault="00917D07">
      <w:pPr>
        <w:spacing w:line="360" w:lineRule="auto"/>
        <w:ind w:firstLineChars="200" w:firstLine="560"/>
        <w:rPr>
          <w:rFonts w:ascii="仿宋" w:eastAsia="仿宋" w:hAnsi="仿宋" w:cs="仿宋"/>
          <w:sz w:val="28"/>
          <w:szCs w:val="28"/>
        </w:rPr>
      </w:pPr>
    </w:p>
    <w:p w:rsidR="00917D07" w:rsidRDefault="00334E83" w:rsidP="00334E83">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sidR="00D1598F">
        <w:rPr>
          <w:rFonts w:ascii="仿宋" w:eastAsia="仿宋" w:hAnsi="仿宋" w:cs="仿宋" w:hint="eastAsia"/>
          <w:sz w:val="28"/>
          <w:szCs w:val="28"/>
        </w:rPr>
        <w:t>财务处</w:t>
      </w:r>
    </w:p>
    <w:p w:rsidR="00917D07" w:rsidRDefault="00D1598F">
      <w:pPr>
        <w:spacing w:line="360" w:lineRule="auto"/>
        <w:jc w:val="right"/>
        <w:rPr>
          <w:rFonts w:ascii="仿宋" w:eastAsia="仿宋" w:hAnsi="仿宋" w:cs="仿宋"/>
          <w:sz w:val="28"/>
          <w:szCs w:val="28"/>
        </w:rPr>
      </w:pPr>
      <w:r>
        <w:rPr>
          <w:rFonts w:ascii="仿宋" w:eastAsia="仿宋" w:hAnsi="仿宋" w:cs="仿宋"/>
          <w:sz w:val="28"/>
          <w:szCs w:val="28"/>
        </w:rPr>
        <w:t>2025年</w:t>
      </w:r>
      <w:r>
        <w:rPr>
          <w:rFonts w:ascii="仿宋" w:eastAsia="仿宋" w:hAnsi="仿宋" w:cs="仿宋" w:hint="eastAsia"/>
          <w:sz w:val="28"/>
          <w:szCs w:val="28"/>
        </w:rPr>
        <w:t>4</w:t>
      </w:r>
      <w:r>
        <w:rPr>
          <w:rFonts w:ascii="仿宋" w:eastAsia="仿宋" w:hAnsi="仿宋" w:cs="仿宋"/>
          <w:sz w:val="28"/>
          <w:szCs w:val="28"/>
        </w:rPr>
        <w:t>月</w:t>
      </w:r>
      <w:r>
        <w:rPr>
          <w:rFonts w:ascii="仿宋" w:eastAsia="仿宋" w:hAnsi="仿宋" w:cs="仿宋" w:hint="eastAsia"/>
          <w:sz w:val="28"/>
          <w:szCs w:val="28"/>
        </w:rPr>
        <w:t>27</w:t>
      </w:r>
      <w:r>
        <w:rPr>
          <w:rFonts w:ascii="仿宋" w:eastAsia="仿宋" w:hAnsi="仿宋" w:cs="仿宋"/>
          <w:sz w:val="28"/>
          <w:szCs w:val="28"/>
        </w:rPr>
        <w:t>日</w:t>
      </w:r>
    </w:p>
    <w:p w:rsidR="00334E83" w:rsidRDefault="00334E83" w:rsidP="00334E83">
      <w:pPr>
        <w:spacing w:line="360" w:lineRule="auto"/>
        <w:ind w:right="280"/>
        <w:jc w:val="left"/>
        <w:rPr>
          <w:rFonts w:ascii="仿宋" w:eastAsia="仿宋" w:hAnsi="仿宋" w:cs="仿宋"/>
          <w:sz w:val="28"/>
          <w:szCs w:val="28"/>
        </w:rPr>
      </w:pPr>
    </w:p>
    <w:p w:rsidR="00334E83" w:rsidRDefault="008E04CF" w:rsidP="00334E83">
      <w:pPr>
        <w:spacing w:line="360" w:lineRule="auto"/>
        <w:ind w:right="280"/>
        <w:jc w:val="left"/>
        <w:rPr>
          <w:rFonts w:ascii="仿宋" w:eastAsia="仿宋" w:hAnsi="仿宋" w:cs="仿宋"/>
          <w:sz w:val="28"/>
          <w:szCs w:val="28"/>
        </w:rPr>
      </w:pPr>
      <w:r>
        <w:rPr>
          <w:rFonts w:ascii="仿宋" w:eastAsia="仿宋" w:hAnsi="仿宋" w:cs="仿宋" w:hint="eastAsia"/>
          <w:sz w:val="28"/>
          <w:szCs w:val="28"/>
        </w:rPr>
        <w:t>注：</w:t>
      </w:r>
      <w:r w:rsidR="00334E83">
        <w:rPr>
          <w:rFonts w:ascii="仿宋" w:eastAsia="仿宋" w:hAnsi="仿宋" w:cs="仿宋" w:hint="eastAsia"/>
          <w:sz w:val="28"/>
          <w:szCs w:val="28"/>
        </w:rPr>
        <w:t>流程上有疑问的可以在工作时间联系财务傅老师5</w:t>
      </w:r>
      <w:r w:rsidR="00334E83">
        <w:rPr>
          <w:rFonts w:ascii="仿宋" w:eastAsia="仿宋" w:hAnsi="仿宋" w:cs="仿宋"/>
          <w:sz w:val="28"/>
          <w:szCs w:val="28"/>
        </w:rPr>
        <w:t>8731434</w:t>
      </w:r>
      <w:r w:rsidR="00334E83">
        <w:rPr>
          <w:rFonts w:ascii="仿宋" w:eastAsia="仿宋" w:hAnsi="仿宋" w:cs="仿宋" w:hint="eastAsia"/>
          <w:sz w:val="28"/>
          <w:szCs w:val="28"/>
        </w:rPr>
        <w:t>。</w:t>
      </w:r>
    </w:p>
    <w:p w:rsidR="00334E83" w:rsidRDefault="00334E83" w:rsidP="00334E83">
      <w:pPr>
        <w:spacing w:line="360" w:lineRule="auto"/>
        <w:ind w:right="280"/>
        <w:jc w:val="left"/>
        <w:rPr>
          <w:rFonts w:ascii="仿宋" w:eastAsia="仿宋" w:hAnsi="仿宋" w:cs="仿宋"/>
          <w:sz w:val="28"/>
          <w:szCs w:val="28"/>
        </w:rPr>
      </w:pPr>
    </w:p>
    <w:sectPr w:rsidR="00334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8C" w:rsidRDefault="007F028C" w:rsidP="00334E83">
      <w:r>
        <w:separator/>
      </w:r>
    </w:p>
  </w:endnote>
  <w:endnote w:type="continuationSeparator" w:id="0">
    <w:p w:rsidR="007F028C" w:rsidRDefault="007F028C" w:rsidP="0033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8C" w:rsidRDefault="007F028C" w:rsidP="00334E83">
      <w:r>
        <w:separator/>
      </w:r>
    </w:p>
  </w:footnote>
  <w:footnote w:type="continuationSeparator" w:id="0">
    <w:p w:rsidR="007F028C" w:rsidRDefault="007F028C" w:rsidP="00334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MzZiNzFjM2MzOWY4NzJmY2RiNTJjNjMzNWVkNDAifQ=="/>
  </w:docVars>
  <w:rsids>
    <w:rsidRoot w:val="00335600"/>
    <w:rsid w:val="00116AFB"/>
    <w:rsid w:val="00220FAF"/>
    <w:rsid w:val="0023035D"/>
    <w:rsid w:val="00280A46"/>
    <w:rsid w:val="00334E83"/>
    <w:rsid w:val="00335600"/>
    <w:rsid w:val="007D5D95"/>
    <w:rsid w:val="007F028C"/>
    <w:rsid w:val="008E04CF"/>
    <w:rsid w:val="00917D07"/>
    <w:rsid w:val="00D1598F"/>
    <w:rsid w:val="00D755F2"/>
    <w:rsid w:val="00D864DC"/>
    <w:rsid w:val="00DA3BAF"/>
    <w:rsid w:val="07C42FF4"/>
    <w:rsid w:val="0FFA0517"/>
    <w:rsid w:val="110A5436"/>
    <w:rsid w:val="17C136AF"/>
    <w:rsid w:val="20834E0B"/>
    <w:rsid w:val="209175EC"/>
    <w:rsid w:val="274D2A70"/>
    <w:rsid w:val="2852606F"/>
    <w:rsid w:val="2AC2600A"/>
    <w:rsid w:val="2D497297"/>
    <w:rsid w:val="2E9C2353"/>
    <w:rsid w:val="34A35D81"/>
    <w:rsid w:val="38590E36"/>
    <w:rsid w:val="4F2B6064"/>
    <w:rsid w:val="552C7F6A"/>
    <w:rsid w:val="55480BFA"/>
    <w:rsid w:val="5A4D6141"/>
    <w:rsid w:val="5CF00A73"/>
    <w:rsid w:val="5D1E4FED"/>
    <w:rsid w:val="5DBA4A56"/>
    <w:rsid w:val="62D47BE1"/>
    <w:rsid w:val="69983B06"/>
    <w:rsid w:val="6B110DD4"/>
    <w:rsid w:val="6FBB524F"/>
    <w:rsid w:val="75240FEF"/>
    <w:rsid w:val="7AA9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5A821"/>
  <w15:docId w15:val="{E573BE9B-2112-460D-BE56-F07CBDF5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a">
    <w:name w:val="Date"/>
    <w:basedOn w:val="a"/>
    <w:next w:val="a"/>
    <w:link w:val="ab"/>
    <w:rsid w:val="00334E83"/>
    <w:pPr>
      <w:ind w:leftChars="2500" w:left="100"/>
    </w:pPr>
  </w:style>
  <w:style w:type="character" w:customStyle="1" w:styleId="ab">
    <w:name w:val="日期 字符"/>
    <w:basedOn w:val="a0"/>
    <w:link w:val="aa"/>
    <w:rsid w:val="00334E8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huangxy</cp:lastModifiedBy>
  <cp:revision>7</cp:revision>
  <dcterms:created xsi:type="dcterms:W3CDTF">2025-03-14T02:47:00Z</dcterms:created>
  <dcterms:modified xsi:type="dcterms:W3CDTF">2025-07-03T03:34:00Z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DB00AE9500104370933A36D848AE1F8C</vt:lpwstr>
  </property>
  <property fmtid="{D5CDD505-2E9C-101B-9397-08002B2CF9AE}" pid="4" name="KSOTemplateDocerSaveRecord">
    <vt:lpwstr>eyJoZGlkIjoiYWY0NmU5YmVlZjY3YWY3NGZmMzg1MWFkOWVkMTkwMDAiLCJ1c2VySWQiOiIzNzU4NjQ0MDUifQ==</vt:lpwstr>
  </property>
</Properties>
</file>